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r>
        <w:rPr>
          <w:rFonts w:ascii="Arial" w:cs="Arial" w:eastAsia="Arial" w:hAnsi="Arial"/>
          <w:b/>
          <w:bCs/>
          <w:color w:val="C66A0A"/>
          <w:spacing w:val="60"/>
          <w:sz w:val="18"/>
          <w:szCs w:val="18"/>
        </w:rPr>
        <w:t xml:space="preserve">CHAPTER 4</w:t>
      </w:r>
    </w:p>
    <w:p>
      <w:pPr>
        <w:pStyle w:val="Heading1"/>
      </w:pPr>
      <w:r>
        <w:rPr>
          <w:rFonts w:ascii="Arial" w:cs="Arial" w:eastAsia="Arial" w:hAnsi="Arial"/>
          <w:b/>
          <w:bCs/>
          <w:color w:val="1F3A4D"/>
          <w:sz w:val="44"/>
          <w:szCs w:val="44"/>
        </w:rPr>
        <w:t xml:space="preserve">Major Appliances &amp; Accessories</w:t>
      </w:r>
    </w:p>
    <w:p>
      <w:pPr>
        <w:spacing w:after="200"/>
      </w:pPr>
      <w:r>
        <w:rPr>
          <w:rFonts w:ascii="Georgia" w:cs="Georgia" w:eastAsia="Georgia" w:hAnsi="Georgia"/>
          <w:i/>
          <w:iCs/>
          <w:color w:val="5B574D"/>
          <w:sz w:val="18"/>
          <w:szCs w:val="18"/>
        </w:rPr>
        <w:t xml:space="preserve">Revised edition. The original tank-type water heater and all of its operating, draining, and pressure-relief content have been removed and replaced with the installed Fogatti InstaShower tankless water heater. Remaining appliance content is recreated from the original manual.</w:t>
      </w:r>
    </w:p>
    <w:p>
      <w:pPr>
        <w:pStyle w:val="Heading2"/>
        <w:pBdr>
          <w:bottom w:val="single" w:color="C66A0A" w:sz="6" w:space="2"/>
        </w:pBdr>
        <w:spacing w:after="120" w:before="280"/>
      </w:pPr>
      <w:r>
        <w:rPr>
          <w:rFonts w:ascii="Arial" w:cs="Arial" w:eastAsia="Arial" w:hAnsi="Arial"/>
          <w:b/>
          <w:bCs/>
          <w:color w:val="1F3A4D"/>
          <w:sz w:val="26"/>
          <w:szCs w:val="26"/>
        </w:rPr>
        <w:t xml:space="preserve">Water Heater — Fogatti InstaShower (Tankless)</w:t>
      </w:r>
    </w:p>
    <w:p>
      <w:pPr>
        <w:spacing w:after="140" w:line="276"/>
      </w:pPr>
      <w:r>
        <w:rPr>
          <w:rFonts w:ascii="Georgia" w:cs="Georgia" w:eastAsia="Georgia" w:hAnsi="Georgia"/>
          <w:sz w:val="22"/>
          <w:szCs w:val="22"/>
        </w:rPr>
        <w:t xml:space="preserve">This coach is fitted with a </w:t>
      </w:r>
      <w:r>
        <w:rPr>
          <w:rFonts w:ascii="Georgia" w:cs="Georgia" w:eastAsia="Georgia" w:hAnsi="Georgia"/>
          <w:b/>
          <w:bCs/>
          <w:sz w:val="22"/>
          <w:szCs w:val="22"/>
        </w:rPr>
        <w:t xml:space="preserve">Fogatti InstaShower propane tankless water heater</w:t>
      </w:r>
      <w:r>
        <w:rPr>
          <w:rFonts w:ascii="Georgia" w:cs="Georgia" w:eastAsia="Georgia" w:hAnsi="Georgia"/>
          <w:sz w:val="22"/>
          <w:szCs w:val="22"/>
        </w:rPr>
        <w:t xml:space="preserve">. It heats water on demand as it flows through the unit, rather than storing it in a tank. Hot water is effectively continuous, limited by flow rate rather than by tank capacity.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D8C" w:sz="4"/>
              <w:left w:val="single" w:color="2E7D8C" w:sz="18"/>
              <w:bottom w:val="single" w:color="2E7D8C" w:sz="4"/>
              <w:right w:val="single" w:color="2E7D8C" w:sz="4"/>
            </w:tcBorders>
            <w:shd w:fill="F7F2E6" w:val="clear"/>
            <w:tcMar>
              <w:top w:type="dxa" w:w="120"/>
              <w:left w:type="dxa" w:w="150"/>
              <w:bottom w:type="dxa" w:w="120"/>
              <w:right w:type="dxa" w:w="150"/>
            </w:tcMar>
          </w:tcPr>
          <w:p>
            <w:pPr>
              <w:spacing w:after="50"/>
            </w:pPr>
            <w:r>
              <w:rPr>
                <w:rFonts w:ascii="Arial" w:cs="Arial" w:eastAsia="Arial" w:hAnsi="Arial"/>
                <w:b/>
                <w:bCs/>
                <w:color w:val="2E7D8C"/>
                <w:sz w:val="19"/>
                <w:szCs w:val="19"/>
              </w:rPr>
              <w:t xml:space="preserve">What is no longer on this coach</w:t>
            </w:r>
          </w:p>
          <w:p>
            <w:pPr>
              <w:spacing w:after="60"/>
            </w:pPr>
            <w:r>
              <w:rPr>
                <w:rFonts w:ascii="Georgia" w:cs="Georgia" w:eastAsia="Georgia" w:hAnsi="Georgia"/>
                <w:color w:val="23211C"/>
                <w:sz w:val="20"/>
                <w:szCs w:val="20"/>
              </w:rPr>
              <w:t xml:space="preserve">The original 6-gallon tank water heater has been removed. The following no longer apply and should be disregarded wherever they appear in older documentation:</w:t>
            </w:r>
          </w:p>
          <w:p>
            <w:pPr>
              <w:spacing w:after="60"/>
            </w:pPr>
            <w:r>
              <w:rPr>
                <w:rFonts w:ascii="Georgia" w:cs="Georgia" w:eastAsia="Georgia" w:hAnsi="Georgia"/>
                <w:color w:val="23211C"/>
                <w:sz w:val="20"/>
                <w:szCs w:val="20"/>
              </w:rPr>
              <w:t xml:space="preserve">•  There is no tank to fill, and no need to purge a tank of air before lighting.</w:t>
            </w:r>
          </w:p>
          <w:p>
            <w:pPr>
              <w:spacing w:after="60"/>
            </w:pPr>
            <w:r>
              <w:rPr>
                <w:rFonts w:ascii="Georgia" w:cs="Georgia" w:eastAsia="Georgia" w:hAnsi="Georgia"/>
                <w:color w:val="23211C"/>
                <w:sz w:val="20"/>
                <w:szCs w:val="20"/>
              </w:rPr>
              <w:t xml:space="preserve">•  There is no anode rod to inspect or replace.</w:t>
            </w:r>
          </w:p>
          <w:p>
            <w:pPr>
              <w:spacing w:after="60"/>
            </w:pPr>
            <w:r>
              <w:rPr>
                <w:rFonts w:ascii="Georgia" w:cs="Georgia" w:eastAsia="Georgia" w:hAnsi="Georgia"/>
                <w:color w:val="23211C"/>
                <w:sz w:val="20"/>
                <w:szCs w:val="20"/>
              </w:rPr>
              <w:t xml:space="preserve">•  There is no tank drain plug, and no annual tank flushing.</w:t>
            </w:r>
          </w:p>
          <w:p>
            <w:pPr>
              <w:spacing w:after="60"/>
            </w:pPr>
            <w:r>
              <w:rPr>
                <w:rFonts w:ascii="Georgia" w:cs="Georgia" w:eastAsia="Georgia" w:hAnsi="Georgia"/>
                <w:color w:val="23211C"/>
                <w:sz w:val="20"/>
                <w:szCs w:val="20"/>
              </w:rPr>
              <w:t xml:space="preserve">•  There is no 120 VAC heating element, no element power switch, and no high-temperature limit reset button.</w:t>
            </w:r>
          </w:p>
          <w:p>
            <w:pPr>
              <w:spacing w:after="60"/>
            </w:pPr>
            <w:r>
              <w:rPr>
                <w:rFonts w:ascii="Georgia" w:cs="Georgia" w:eastAsia="Georgia" w:hAnsi="Georgia"/>
                <w:color w:val="23211C"/>
                <w:sz w:val="20"/>
                <w:szCs w:val="20"/>
              </w:rPr>
              <w:t xml:space="preserve">•  There is no ECO switch or red ECO wire to remove before servicing.</w:t>
            </w:r>
          </w:p>
          <w:p>
            <w:pPr>
              <w:spacing w:after="0"/>
            </w:pPr>
            <w:r>
              <w:rPr>
                <w:rFonts w:ascii="Georgia" w:cs="Georgia" w:eastAsia="Georgia" w:hAnsi="Georgia"/>
                <w:color w:val="23211C"/>
                <w:sz w:val="20"/>
                <w:szCs w:val="20"/>
              </w:rPr>
              <w:t xml:space="preserve">•  The old tank-mounted 210°F / 150 psi pressure-relief valve and its normal “weeping” behaviour no longer apply.</w:t>
            </w:r>
          </w:p>
        </w:tc>
      </w:tr>
    </w:tbl>
    <w:p>
      <w:pPr>
        <w:spacing w:after="90" w:before="200"/>
      </w:pPr>
      <w:r>
        <w:rPr>
          <w:rFonts w:ascii="Arial" w:cs="Arial" w:eastAsia="Arial" w:hAnsi="Arial"/>
          <w:b/>
          <w:bCs/>
          <w:color w:val="1F3A4D"/>
          <w:sz w:val="22"/>
          <w:szCs w:val="22"/>
        </w:rPr>
        <w:t xml:space="preserve">Specifications</w:t>
      </w:r>
    </w:p>
    <w:p>
      <w:pPr>
        <w:spacing w:after="140" w:line="276"/>
      </w:pPr>
      <w:r>
        <w:rPr>
          <w:rFonts w:ascii="Georgia" w:cs="Georgia" w:eastAsia="Georgia" w:hAnsi="Georgia"/>
          <w:color w:val="5B574D"/>
          <w:sz w:val="21"/>
          <w:szCs w:val="21"/>
        </w:rPr>
        <w:t xml:space="preserve">Record your model and its ratings below — they vary across the InstaShower range. The remaining values are common to the series.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600"/>
        <w:gridCol w:w="5760"/>
      </w:tblGrid>
      <w:tr>
        <w:trPr>
          <w:tblHeader/>
        </w:trPr>
        <w:tc>
          <w:tcPr>
            <w:tcW w:type="dxa" w:w="360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Specification</w:t>
            </w:r>
          </w:p>
        </w:tc>
        <w:tc>
          <w:tcPr>
            <w:tcW w:type="dxa" w:w="576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Value</w:t>
            </w:r>
          </w:p>
        </w:tc>
      </w:tr>
      <w:tr>
        <w:trPr>
          <w:tblHeader w:val="false"/>
        </w:trPr>
        <w:tc>
          <w:tcPr>
            <w:tcW w:type="dxa" w:w="36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Model (record yours)</w:t>
            </w:r>
          </w:p>
        </w:tc>
        <w:tc>
          <w:tcPr>
            <w:tcW w:type="dxa" w:w="57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__________________________</w:t>
            </w:r>
          </w:p>
        </w:tc>
      </w:tr>
      <w:tr>
        <w:trPr>
          <w:tblHeader w:val="false"/>
        </w:trPr>
        <w:tc>
          <w:tcPr>
            <w:tcW w:type="dxa" w:w="36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Rated input</w:t>
            </w:r>
          </w:p>
        </w:tc>
        <w:tc>
          <w:tcPr>
            <w:tcW w:type="dxa" w:w="57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__________ BTU</w:t>
            </w:r>
          </w:p>
        </w:tc>
      </w:tr>
      <w:tr>
        <w:trPr>
          <w:tblHeader w:val="false"/>
        </w:trPr>
        <w:tc>
          <w:tcPr>
            <w:tcW w:type="dxa" w:w="36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Maximum hot water flow</w:t>
            </w:r>
          </w:p>
        </w:tc>
        <w:tc>
          <w:tcPr>
            <w:tcW w:type="dxa" w:w="57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__________ GPM</w:t>
            </w:r>
          </w:p>
        </w:tc>
      </w:tr>
      <w:tr>
        <w:trPr>
          <w:tblHeader w:val="false"/>
        </w:trPr>
        <w:tc>
          <w:tcPr>
            <w:tcW w:type="dxa" w:w="36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Fuel</w:t>
            </w:r>
          </w:p>
        </w:tc>
        <w:tc>
          <w:tcPr>
            <w:tcW w:type="dxa" w:w="57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Propane (LP) only</w:t>
            </w:r>
          </w:p>
        </w:tc>
      </w:tr>
      <w:tr>
        <w:trPr>
          <w:tblHeader w:val="false"/>
        </w:trPr>
        <w:tc>
          <w:tcPr>
            <w:tcW w:type="dxa" w:w="36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Electrical supply</w:t>
            </w:r>
          </w:p>
        </w:tc>
        <w:tc>
          <w:tcPr>
            <w:tcW w:type="dxa" w:w="57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12 V DC</w:t>
            </w:r>
          </w:p>
        </w:tc>
      </w:tr>
      <w:tr>
        <w:trPr>
          <w:tblHeader w:val="false"/>
        </w:trPr>
        <w:tc>
          <w:tcPr>
            <w:tcW w:type="dxa" w:w="36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Ignition</w:t>
            </w:r>
          </w:p>
        </w:tc>
        <w:tc>
          <w:tcPr>
            <w:tcW w:type="dxa" w:w="57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Automatic pulse ignition</w:t>
            </w:r>
          </w:p>
        </w:tc>
      </w:tr>
      <w:tr>
        <w:trPr>
          <w:tblHeader w:val="false"/>
        </w:trPr>
        <w:tc>
          <w:tcPr>
            <w:tcW w:type="dxa" w:w="36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Exhaust</w:t>
            </w:r>
          </w:p>
        </w:tc>
        <w:tc>
          <w:tcPr>
            <w:tcW w:type="dxa" w:w="57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Forced — powered fan</w:t>
            </w:r>
          </w:p>
        </w:tc>
      </w:tr>
      <w:tr>
        <w:trPr>
          <w:tblHeader w:val="false"/>
        </w:trPr>
        <w:tc>
          <w:tcPr>
            <w:tcW w:type="dxa" w:w="36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Thermal efficiency</w:t>
            </w:r>
          </w:p>
        </w:tc>
        <w:tc>
          <w:tcPr>
            <w:tcW w:type="dxa" w:w="57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Approx. 84%</w:t>
            </w:r>
          </w:p>
        </w:tc>
      </w:tr>
      <w:tr>
        <w:trPr>
          <w:tblHeader w:val="false"/>
        </w:trPr>
        <w:tc>
          <w:tcPr>
            <w:tcW w:type="dxa" w:w="36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Temperature range</w:t>
            </w:r>
          </w:p>
        </w:tc>
        <w:tc>
          <w:tcPr>
            <w:tcW w:type="dxa" w:w="57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95–123°F</w:t>
            </w:r>
          </w:p>
        </w:tc>
      </w:tr>
      <w:tr>
        <w:trPr>
          <w:tblHeader w:val="false"/>
        </w:trPr>
        <w:tc>
          <w:tcPr>
            <w:tcW w:type="dxa" w:w="36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Working water pressure</w:t>
            </w:r>
          </w:p>
        </w:tc>
        <w:tc>
          <w:tcPr>
            <w:tcW w:type="dxa" w:w="57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14.5–116 psi</w:t>
            </w:r>
          </w:p>
        </w:tc>
      </w:tr>
      <w:tr>
        <w:trPr>
          <w:tblHeader w:val="false"/>
        </w:trPr>
        <w:tc>
          <w:tcPr>
            <w:tcW w:type="dxa" w:w="36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Vent diameter</w:t>
            </w:r>
          </w:p>
        </w:tc>
        <w:tc>
          <w:tcPr>
            <w:tcW w:type="dxa" w:w="57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1.97 in.</w:t>
            </w:r>
          </w:p>
        </w:tc>
      </w:tr>
      <w:tr>
        <w:trPr>
          <w:tblHeader w:val="false"/>
        </w:trPr>
        <w:tc>
          <w:tcPr>
            <w:tcW w:type="dxa" w:w="36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Gas inlet</w:t>
            </w:r>
          </w:p>
        </w:tc>
        <w:tc>
          <w:tcPr>
            <w:tcW w:type="dxa" w:w="57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5/8 in.</w:t>
            </w:r>
          </w:p>
        </w:tc>
      </w:tr>
      <w:tr>
        <w:trPr>
          <w:tblHeader w:val="false"/>
        </w:trPr>
        <w:tc>
          <w:tcPr>
            <w:tcW w:type="dxa" w:w="36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Water inlet / outlet</w:t>
            </w:r>
          </w:p>
        </w:tc>
        <w:tc>
          <w:tcPr>
            <w:tcW w:type="dxa" w:w="57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1/2 in. each</w:t>
            </w:r>
          </w:p>
        </w:tc>
      </w:tr>
      <w:tr>
        <w:trPr>
          <w:tblHeader w:val="false"/>
        </w:trPr>
        <w:tc>
          <w:tcPr>
            <w:tcW w:type="dxa" w:w="36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Certification</w:t>
            </w:r>
          </w:p>
        </w:tc>
        <w:tc>
          <w:tcPr>
            <w:tcW w:type="dxa" w:w="57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CSA</w:t>
            </w:r>
          </w:p>
        </w:tc>
      </w:tr>
    </w:tbl>
    <w:p>
      <w:pPr>
        <w:spacing w:after="80" w:before="150"/>
      </w:pPr>
      <w:r>
        <w:rPr>
          <w:rFonts w:ascii="Arial" w:cs="Arial" w:eastAsia="Arial" w:hAnsi="Arial"/>
          <w:b/>
          <w:bCs/>
          <w:color w:val="1F3A4D"/>
          <w:sz w:val="20"/>
          <w:szCs w:val="20"/>
        </w:rPr>
        <w:t xml:space="preserve">Model reference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3200"/>
        <w:gridCol w:w="2960"/>
      </w:tblGrid>
      <w:tr>
        <w:trPr>
          <w:tblHeader/>
        </w:trPr>
        <w:tc>
          <w:tcPr>
            <w:tcW w:type="dxa" w:w="3200"/>
            <w:tcBorders>
              <w:top w:val="single" w:color="C9BFA8" w:sz="4"/>
              <w:left w:val="single" w:color="C9BFA8" w:sz="4"/>
              <w:bottom w:val="single" w:color="C9BFA8" w:sz="4"/>
              <w:right w:val="single" w:color="C9BFA8" w:sz="4"/>
            </w:tcBorders>
            <w:shd w:fill="2E7D8C" w:val="clear"/>
            <w:tcMar>
              <w:top w:type="dxa" w:w="60"/>
              <w:left w:type="dxa" w:w="110"/>
              <w:bottom w:type="dxa" w:w="60"/>
              <w:right w:type="dxa" w:w="110"/>
            </w:tcMar>
            <w:vAlign w:val="center"/>
          </w:tcPr>
          <w:p>
            <w:r>
              <w:rPr>
                <w:rFonts w:ascii="Arial" w:cs="Arial" w:eastAsia="Arial" w:hAnsi="Arial"/>
                <w:b/>
                <w:bCs/>
                <w:color w:val="FFFFFF"/>
                <w:sz w:val="17"/>
                <w:szCs w:val="17"/>
              </w:rPr>
              <w:t xml:space="preserve">Model</w:t>
            </w:r>
          </w:p>
        </w:tc>
        <w:tc>
          <w:tcPr>
            <w:tcW w:type="dxa" w:w="3200"/>
            <w:tcBorders>
              <w:top w:val="single" w:color="C9BFA8" w:sz="4"/>
              <w:left w:val="single" w:color="C9BFA8" w:sz="4"/>
              <w:bottom w:val="single" w:color="C9BFA8" w:sz="4"/>
              <w:right w:val="single" w:color="C9BFA8" w:sz="4"/>
            </w:tcBorders>
            <w:shd w:fill="2E7D8C" w:val="clear"/>
            <w:tcMar>
              <w:top w:type="dxa" w:w="60"/>
              <w:left w:type="dxa" w:w="110"/>
              <w:bottom w:type="dxa" w:w="60"/>
              <w:right w:type="dxa" w:w="110"/>
            </w:tcMar>
            <w:vAlign w:val="center"/>
          </w:tcPr>
          <w:p>
            <w:r>
              <w:rPr>
                <w:rFonts w:ascii="Arial" w:cs="Arial" w:eastAsia="Arial" w:hAnsi="Arial"/>
                <w:b/>
                <w:bCs/>
                <w:color w:val="FFFFFF"/>
                <w:sz w:val="17"/>
                <w:szCs w:val="17"/>
              </w:rPr>
              <w:t xml:space="preserve">Rated input</w:t>
            </w:r>
          </w:p>
        </w:tc>
        <w:tc>
          <w:tcPr>
            <w:tcW w:type="dxa" w:w="2960"/>
            <w:tcBorders>
              <w:top w:val="single" w:color="C9BFA8" w:sz="4"/>
              <w:left w:val="single" w:color="C9BFA8" w:sz="4"/>
              <w:bottom w:val="single" w:color="C9BFA8" w:sz="4"/>
              <w:right w:val="single" w:color="C9BFA8" w:sz="4"/>
            </w:tcBorders>
            <w:shd w:fill="2E7D8C" w:val="clear"/>
            <w:tcMar>
              <w:top w:type="dxa" w:w="60"/>
              <w:left w:type="dxa" w:w="110"/>
              <w:bottom w:type="dxa" w:w="60"/>
              <w:right w:type="dxa" w:w="110"/>
            </w:tcMar>
            <w:vAlign w:val="center"/>
          </w:tcPr>
          <w:p>
            <w:r>
              <w:rPr>
                <w:rFonts w:ascii="Arial" w:cs="Arial" w:eastAsia="Arial" w:hAnsi="Arial"/>
                <w:b/>
                <w:bCs/>
                <w:color w:val="FFFFFF"/>
                <w:sz w:val="17"/>
                <w:szCs w:val="17"/>
              </w:rPr>
              <w:t xml:space="preserve">Max flow</w:t>
            </w:r>
          </w:p>
        </w:tc>
      </w:tr>
      <w:tr>
        <w:trPr>
          <w:tblHeader w:val="false"/>
        </w:trPr>
        <w:tc>
          <w:tcPr>
            <w:tcW w:type="dxa" w:w="32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InstaShower 7</w:t>
            </w:r>
          </w:p>
        </w:tc>
        <w:tc>
          <w:tcPr>
            <w:tcW w:type="dxa" w:w="32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48,000 BTU</w:t>
            </w:r>
          </w:p>
        </w:tc>
        <w:tc>
          <w:tcPr>
            <w:tcW w:type="dxa" w:w="29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2.5 GPM</w:t>
            </w:r>
          </w:p>
        </w:tc>
      </w:tr>
      <w:tr>
        <w:trPr>
          <w:tblHeader w:val="false"/>
        </w:trPr>
        <w:tc>
          <w:tcPr>
            <w:tcW w:type="dxa" w:w="32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InstaShower 8 Plus</w:t>
            </w:r>
          </w:p>
        </w:tc>
        <w:tc>
          <w:tcPr>
            <w:tcW w:type="dxa" w:w="32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55,000 BTU</w:t>
            </w:r>
          </w:p>
        </w:tc>
        <w:tc>
          <w:tcPr>
            <w:tcW w:type="dxa" w:w="29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2.9 GPM</w:t>
            </w:r>
          </w:p>
        </w:tc>
      </w:tr>
      <w:tr>
        <w:trPr>
          <w:tblHeader w:val="false"/>
        </w:trPr>
        <w:tc>
          <w:tcPr>
            <w:tcW w:type="dxa" w:w="32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InstaShower 8 Pro</w:t>
            </w:r>
          </w:p>
        </w:tc>
        <w:tc>
          <w:tcPr>
            <w:tcW w:type="dxa" w:w="32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55,000–60,000 BTU</w:t>
            </w:r>
          </w:p>
        </w:tc>
        <w:tc>
          <w:tcPr>
            <w:tcW w:type="dxa" w:w="29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2.9–3.1 GPM</w:t>
            </w:r>
          </w:p>
        </w:tc>
      </w:tr>
      <w:tr>
        <w:trPr>
          <w:tblHeader w:val="false"/>
        </w:trPr>
        <w:tc>
          <w:tcPr>
            <w:tcW w:type="dxa" w:w="32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InstaShower Ultra</w:t>
            </w:r>
          </w:p>
        </w:tc>
        <w:tc>
          <w:tcPr>
            <w:tcW w:type="dxa" w:w="32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66,000 BTU</w:t>
            </w:r>
          </w:p>
        </w:tc>
        <w:tc>
          <w:tcPr>
            <w:tcW w:type="dxa" w:w="29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Up to 3.9 GPM</w:t>
            </w:r>
          </w:p>
        </w:tc>
      </w:tr>
    </w:tbl>
    <w:p>
      <w:pPr>
        <w:spacing w:after="90" w:before="200"/>
      </w:pPr>
      <w:r>
        <w:rPr>
          <w:rFonts w:ascii="Arial" w:cs="Arial" w:eastAsia="Arial" w:hAnsi="Arial"/>
          <w:b/>
          <w:bCs/>
          <w:color w:val="1F3A4D"/>
          <w:sz w:val="22"/>
          <w:szCs w:val="22"/>
        </w:rPr>
        <w:t xml:space="preserve">What the heater needs in order to run</w:t>
      </w:r>
    </w:p>
    <w:p>
      <w:pPr>
        <w:spacing w:after="140" w:line="276"/>
      </w:pPr>
      <w:r>
        <w:rPr>
          <w:rFonts w:ascii="Georgia" w:cs="Georgia" w:eastAsia="Georgia" w:hAnsi="Georgia"/>
          <w:sz w:val="22"/>
          <w:szCs w:val="22"/>
        </w:rPr>
        <w:t xml:space="preserve">Three things must be present. If any one is missing the unit will not fire:</w:t>
      </w:r>
    </w:p>
    <w:p>
      <w:pPr>
        <w:pStyle w:val="ListParagraph"/>
        <w:numPr>
          <w:ilvl w:val="0"/>
          <w:numId w:val="2"/>
        </w:numPr>
        <w:spacing w:after="90" w:line="272"/>
      </w:pPr>
      <w:r>
        <w:rPr>
          <w:rFonts w:ascii="Georgia" w:cs="Georgia" w:eastAsia="Georgia" w:hAnsi="Georgia"/>
          <w:b/>
          <w:bCs/>
          <w:sz w:val="22"/>
          <w:szCs w:val="22"/>
        </w:rPr>
        <w:t xml:space="preserve">12 V DC power.</w:t>
      </w:r>
      <w:r>
        <w:rPr>
          <w:rFonts w:ascii="Georgia" w:cs="Georgia" w:eastAsia="Georgia" w:hAnsi="Georgia"/>
          <w:sz w:val="22"/>
          <w:szCs w:val="22"/>
        </w:rPr>
        <w:t xml:space="preserve"> The controller, ignition, and exhaust fan all run on 12 volts. If the house battery supply is switched off, there is no hot water — see Chapter 7, Battery Disconnect Switches.</w:t>
      </w:r>
    </w:p>
    <w:p>
      <w:pPr>
        <w:pStyle w:val="ListParagraph"/>
        <w:numPr>
          <w:ilvl w:val="0"/>
          <w:numId w:val="2"/>
        </w:numPr>
        <w:spacing w:after="90" w:line="272"/>
      </w:pPr>
      <w:r>
        <w:rPr>
          <w:rFonts w:ascii="Georgia" w:cs="Georgia" w:eastAsia="Georgia" w:hAnsi="Georgia"/>
          <w:b/>
          <w:bCs/>
          <w:sz w:val="22"/>
          <w:szCs w:val="22"/>
        </w:rPr>
        <w:t xml:space="preserve">Propane.</w:t>
      </w:r>
      <w:r>
        <w:rPr>
          <w:rFonts w:ascii="Georgia" w:cs="Georgia" w:eastAsia="Georgia" w:hAnsi="Georgia"/>
          <w:sz w:val="22"/>
          <w:szCs w:val="22"/>
        </w:rPr>
        <w:t xml:space="preserve"> The main LP tank valve must be open and there must be gas in the tank.</w:t>
      </w:r>
    </w:p>
    <w:p>
      <w:pPr>
        <w:pStyle w:val="ListParagraph"/>
        <w:numPr>
          <w:ilvl w:val="0"/>
          <w:numId w:val="2"/>
        </w:numPr>
        <w:spacing w:after="90" w:line="272"/>
      </w:pPr>
      <w:r>
        <w:rPr>
          <w:rFonts w:ascii="Georgia" w:cs="Georgia" w:eastAsia="Georgia" w:hAnsi="Georgia"/>
          <w:b/>
          <w:bCs/>
          <w:sz w:val="22"/>
          <w:szCs w:val="22"/>
        </w:rPr>
        <w:t xml:space="preserve">Water flow.</w:t>
      </w:r>
      <w:r>
        <w:rPr>
          <w:rFonts w:ascii="Georgia" w:cs="Georgia" w:eastAsia="Georgia" w:hAnsi="Georgia"/>
          <w:sz w:val="22"/>
          <w:szCs w:val="22"/>
        </w:rPr>
        <w:t xml:space="preserve"> The unit is flow-activated. It only fires once a hot tap is opened far enough to meet its minimum flow. A trickle may not be enough to start it.</w:t>
      </w:r>
    </w:p>
    <w:p>
      <w:pPr>
        <w:spacing w:after="90" w:before="200"/>
      </w:pPr>
      <w:r>
        <w:rPr>
          <w:rFonts w:ascii="Arial" w:cs="Arial" w:eastAsia="Arial" w:hAnsi="Arial"/>
          <w:b/>
          <w:bCs/>
          <w:color w:val="1F3A4D"/>
          <w:sz w:val="22"/>
          <w:szCs w:val="22"/>
        </w:rPr>
        <w:t xml:space="preserve">Operation</w:t>
      </w:r>
    </w:p>
    <w:p>
      <w:pPr>
        <w:pStyle w:val="ListParagraph"/>
        <w:numPr>
          <w:ilvl w:val="0"/>
          <w:numId w:val="3"/>
        </w:numPr>
        <w:spacing w:after="100" w:line="272"/>
      </w:pPr>
      <w:r>
        <w:rPr>
          <w:rFonts w:ascii="Georgia" w:cs="Georgia" w:eastAsia="Georgia" w:hAnsi="Georgia"/>
          <w:sz w:val="22"/>
          <w:szCs w:val="22"/>
        </w:rPr>
        <w:t xml:space="preserve">Open the main LP gas valve and confirm the 12 V system is on.</w:t>
      </w:r>
    </w:p>
    <w:p>
      <w:pPr>
        <w:pStyle w:val="ListParagraph"/>
        <w:numPr>
          <w:ilvl w:val="0"/>
          <w:numId w:val="3"/>
        </w:numPr>
        <w:spacing w:after="100" w:line="272"/>
      </w:pPr>
      <w:r>
        <w:rPr>
          <w:rFonts w:ascii="Georgia" w:cs="Georgia" w:eastAsia="Georgia" w:hAnsi="Georgia"/>
          <w:sz w:val="22"/>
          <w:szCs w:val="22"/>
        </w:rPr>
        <w:t xml:space="preserve">Switch the water heater on at its controller. The display will illuminate.</w:t>
      </w:r>
    </w:p>
    <w:p>
      <w:pPr>
        <w:pStyle w:val="ListParagraph"/>
        <w:numPr>
          <w:ilvl w:val="0"/>
          <w:numId w:val="3"/>
        </w:numPr>
        <w:spacing w:after="100" w:line="272"/>
      </w:pPr>
      <w:r>
        <w:rPr>
          <w:rFonts w:ascii="Georgia" w:cs="Georgia" w:eastAsia="Georgia" w:hAnsi="Georgia"/>
          <w:sz w:val="22"/>
          <w:szCs w:val="22"/>
        </w:rPr>
        <w:t xml:space="preserve">Set the desired temperature. The adjustable range is 95–123°F.</w:t>
      </w:r>
    </w:p>
    <w:p>
      <w:pPr>
        <w:pStyle w:val="ListParagraph"/>
        <w:numPr>
          <w:ilvl w:val="0"/>
          <w:numId w:val="3"/>
        </w:numPr>
        <w:spacing w:after="100" w:line="272"/>
      </w:pPr>
      <w:r>
        <w:rPr>
          <w:rFonts w:ascii="Georgia" w:cs="Georgia" w:eastAsia="Georgia" w:hAnsi="Georgia"/>
          <w:sz w:val="22"/>
          <w:szCs w:val="22"/>
        </w:rPr>
        <w:t xml:space="preserve">Open a hot tap. The fan will spool up, the burner will light, and hot water will arrive after a short delay while the water in the line between the heater and the tap clears.</w:t>
      </w:r>
    </w:p>
    <w:p>
      <w:pPr>
        <w:pStyle w:val="ListParagraph"/>
        <w:numPr>
          <w:ilvl w:val="0"/>
          <w:numId w:val="3"/>
        </w:numPr>
        <w:spacing w:after="100" w:line="272"/>
      </w:pPr>
      <w:r>
        <w:rPr>
          <w:rFonts w:ascii="Georgia" w:cs="Georgia" w:eastAsia="Georgia" w:hAnsi="Georgia"/>
          <w:sz w:val="22"/>
          <w:szCs w:val="22"/>
        </w:rPr>
        <w:t xml:space="preserve">Close the tap to stop. The burner shuts down and the fan runs briefly to purge the exhaust — this is normal.</w:t>
      </w:r>
    </w:p>
    <w:p>
      <w:pPr>
        <w:spacing w:after="140" w:line="276"/>
      </w:pPr>
      <w:r>
        <w:rPr>
          <w:rFonts w:ascii="Georgia" w:cs="Georgia" w:eastAsia="Georgia" w:hAnsi="Georgia"/>
          <w:sz w:val="21"/>
          <w:szCs w:val="21"/>
        </w:rPr>
        <w:t xml:space="preserve">Because the unit modulates its flame to hold a set outlet temperature, you generally get better results by setting the temperature you actually want and running the hot tap alone, rather than setting it high and mixing in cold.</w:t>
      </w:r>
    </w:p>
    <w:p>
      <w:pPr>
        <w:spacing w:after="90" w:before="200"/>
      </w:pPr>
      <w:r>
        <w:rPr>
          <w:rFonts w:ascii="Arial" w:cs="Arial" w:eastAsia="Arial" w:hAnsi="Arial"/>
          <w:b/>
          <w:bCs/>
          <w:color w:val="1F3A4D"/>
          <w:sz w:val="22"/>
          <w:szCs w:val="22"/>
        </w:rPr>
        <w:t xml:space="preserve">High-altitude mode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66A0A" w:sz="4"/>
              <w:left w:val="single" w:color="C66A0A" w:sz="18"/>
              <w:bottom w:val="single" w:color="C66A0A" w:sz="4"/>
              <w:right w:val="single" w:color="C66A0A" w:sz="4"/>
            </w:tcBorders>
            <w:shd w:fill="F7F2E6" w:val="clear"/>
            <w:tcMar>
              <w:top w:type="dxa" w:w="120"/>
              <w:left w:type="dxa" w:w="150"/>
              <w:bottom w:type="dxa" w:w="120"/>
              <w:right w:type="dxa" w:w="150"/>
            </w:tcMar>
          </w:tcPr>
          <w:p>
            <w:pPr>
              <w:spacing w:after="50"/>
            </w:pPr>
            <w:r>
              <w:rPr>
                <w:rFonts w:ascii="Arial" w:cs="Arial" w:eastAsia="Arial" w:hAnsi="Arial"/>
                <w:b/>
                <w:bCs/>
                <w:color w:val="C66A0A"/>
                <w:sz w:val="19"/>
                <w:szCs w:val="19"/>
              </w:rPr>
              <w:t xml:space="preserve">Relevant if you camp high</w:t>
            </w:r>
          </w:p>
          <w:p>
            <w:pPr>
              <w:spacing w:after="60"/>
            </w:pPr>
            <w:r>
              <w:rPr>
                <w:rFonts w:ascii="Georgia" w:cs="Georgia" w:eastAsia="Georgia" w:hAnsi="Georgia"/>
                <w:color w:val="23211C"/>
                <w:sz w:val="20"/>
                <w:szCs w:val="20"/>
              </w:rPr>
              <w:t xml:space="preserve">The InstaShower has a high-altitude mode intended for use at elevations up to roughly 9,800 feet.</w:t>
            </w:r>
          </w:p>
          <w:p>
            <w:pPr>
              <w:spacing w:after="0"/>
            </w:pPr>
            <w:r>
              <w:rPr>
                <w:rFonts w:ascii="Georgia" w:cs="Georgia" w:eastAsia="Georgia" w:hAnsi="Georgia"/>
                <w:color w:val="23211C"/>
                <w:sz w:val="20"/>
                <w:szCs w:val="20"/>
              </w:rPr>
              <w:t xml:space="preserve">At altitude the reduced oxygen changes the combustion air requirement. If the unit runs poorly, cycles, or throws a fault when you are high up, check that the altitude setting matches where you are camped, and set it back down when you return to lower ground.</w:t>
            </w:r>
          </w:p>
        </w:tc>
      </w:tr>
    </w:tbl>
    <w:p>
      <w:pPr>
        <w:spacing w:after="90" w:before="200"/>
      </w:pPr>
      <w:r>
        <w:rPr>
          <w:rFonts w:ascii="Arial" w:cs="Arial" w:eastAsia="Arial" w:hAnsi="Arial"/>
          <w:b/>
          <w:bCs/>
          <w:color w:val="1F3A4D"/>
          <w:sz w:val="22"/>
          <w:szCs w:val="22"/>
        </w:rPr>
        <w:t xml:space="preserve">Freeze protection and winterizing</w:t>
      </w:r>
    </w:p>
    <w:p>
      <w:pPr>
        <w:spacing w:after="140" w:line="276"/>
      </w:pPr>
      <w:r>
        <w:rPr>
          <w:rFonts w:ascii="Georgia" w:cs="Georgia" w:eastAsia="Georgia" w:hAnsi="Georgia"/>
          <w:sz w:val="22"/>
          <w:szCs w:val="22"/>
        </w:rPr>
        <w:t xml:space="preserve">The unit includes a freeze-protection function, but this only works while 12 V power and propane remain available. It is not a substitute for winterizing a coach that is being put away.</w:t>
      </w:r>
    </w:p>
    <w:p>
      <w:pPr>
        <w:spacing w:after="140" w:line="276"/>
      </w:pPr>
      <w:r>
        <w:rPr>
          <w:rFonts w:ascii="Georgia" w:cs="Georgia" w:eastAsia="Georgia" w:hAnsi="Georgia"/>
          <w:sz w:val="22"/>
          <w:szCs w:val="22"/>
        </w:rPr>
        <w:t xml:space="preserve">A tankless heater holds very little water, but the heat exchanger still contains enough to split if it freezes. When storing the coach for winter:</w:t>
      </w:r>
    </w:p>
    <w:p>
      <w:pPr>
        <w:pStyle w:val="ListParagraph"/>
        <w:numPr>
          <w:ilvl w:val="0"/>
          <w:numId w:val="3"/>
        </w:numPr>
        <w:spacing w:after="100" w:line="272"/>
      </w:pPr>
      <w:r>
        <w:rPr>
          <w:rFonts w:ascii="Georgia" w:cs="Georgia" w:eastAsia="Georgia" w:hAnsi="Georgia"/>
          <w:sz w:val="22"/>
          <w:szCs w:val="22"/>
        </w:rPr>
        <w:t xml:space="preserve">Turn off the water heater at its controller and shut off the LP gas.</w:t>
      </w:r>
    </w:p>
    <w:p>
      <w:pPr>
        <w:pStyle w:val="ListParagraph"/>
        <w:numPr>
          <w:ilvl w:val="0"/>
          <w:numId w:val="3"/>
        </w:numPr>
        <w:spacing w:after="100" w:line="272"/>
      </w:pPr>
      <w:r>
        <w:rPr>
          <w:rFonts w:ascii="Georgia" w:cs="Georgia" w:eastAsia="Georgia" w:hAnsi="Georgia"/>
          <w:sz w:val="22"/>
          <w:szCs w:val="22"/>
        </w:rPr>
        <w:t xml:space="preserve">Turn off the water pump and disconnect city water.</w:t>
      </w:r>
    </w:p>
    <w:p>
      <w:pPr>
        <w:pStyle w:val="ListParagraph"/>
        <w:numPr>
          <w:ilvl w:val="0"/>
          <w:numId w:val="3"/>
        </w:numPr>
        <w:spacing w:after="100" w:line="272"/>
      </w:pPr>
      <w:r>
        <w:rPr>
          <w:rFonts w:ascii="Georgia" w:cs="Georgia" w:eastAsia="Georgia" w:hAnsi="Georgia"/>
          <w:sz w:val="22"/>
          <w:szCs w:val="22"/>
        </w:rPr>
        <w:t xml:space="preserve">Open both hot and cold taps to relieve pressure and drain the lines.</w:t>
      </w:r>
    </w:p>
    <w:p>
      <w:pPr>
        <w:pStyle w:val="ListParagraph"/>
        <w:numPr>
          <w:ilvl w:val="0"/>
          <w:numId w:val="3"/>
        </w:numPr>
        <w:spacing w:after="100" w:line="272"/>
      </w:pPr>
      <w:r>
        <w:rPr>
          <w:rFonts w:ascii="Georgia" w:cs="Georgia" w:eastAsia="Georgia" w:hAnsi="Georgia"/>
          <w:sz w:val="22"/>
          <w:szCs w:val="22"/>
        </w:rPr>
        <w:t xml:space="preserve">Drain the heat exchanger using the drain point(s) on the unit itself.</w:t>
      </w:r>
    </w:p>
    <w:p>
      <w:pPr>
        <w:pStyle w:val="ListParagraph"/>
        <w:numPr>
          <w:ilvl w:val="0"/>
          <w:numId w:val="3"/>
        </w:numPr>
        <w:spacing w:after="100" w:line="272"/>
      </w:pPr>
      <w:r>
        <w:rPr>
          <w:rFonts w:ascii="Georgia" w:cs="Georgia" w:eastAsia="Georgia" w:hAnsi="Georgia"/>
          <w:sz w:val="22"/>
          <w:szCs w:val="22"/>
        </w:rPr>
        <w:t xml:space="preserve">Blow the lines out with low-pressure compressed air, or introduce RV antifreeze, following your usual winterizing routine.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9B2C1E" w:sz="4"/>
              <w:left w:val="single" w:color="9B2C1E" w:sz="18"/>
              <w:bottom w:val="single" w:color="9B2C1E" w:sz="4"/>
              <w:right w:val="single" w:color="9B2C1E" w:sz="4"/>
            </w:tcBorders>
            <w:shd w:fill="F7F2E6" w:val="clear"/>
            <w:tcMar>
              <w:top w:type="dxa" w:w="120"/>
              <w:left w:type="dxa" w:w="150"/>
              <w:bottom w:type="dxa" w:w="120"/>
              <w:right w:type="dxa" w:w="150"/>
            </w:tcMar>
          </w:tcPr>
          <w:p>
            <w:pPr>
              <w:spacing w:after="50"/>
            </w:pPr>
            <w:r>
              <w:rPr>
                <w:rFonts w:ascii="Arial" w:cs="Arial" w:eastAsia="Arial" w:hAnsi="Arial"/>
                <w:b/>
                <w:bCs/>
                <w:color w:val="9B2C1E"/>
                <w:sz w:val="19"/>
                <w:szCs w:val="19"/>
              </w:rPr>
              <w:t xml:space="preserve">Do not run antifreeze through the burner</w:t>
            </w:r>
          </w:p>
          <w:p>
            <w:pPr>
              <w:spacing w:after="0"/>
            </w:pPr>
            <w:r>
              <w:rPr>
                <w:rFonts w:ascii="Georgia" w:cs="Georgia" w:eastAsia="Georgia" w:hAnsi="Georgia"/>
                <w:color w:val="23211C"/>
                <w:sz w:val="20"/>
                <w:szCs w:val="20"/>
              </w:rPr>
              <w:t xml:space="preserve">If you winterize with RV antifreeze, do not fire the heater while antifreeze is in the system. Circulate or blow it clear, then run fresh water through before returning the unit to service.</w:t>
            </w:r>
          </w:p>
        </w:tc>
      </w:tr>
    </w:tbl>
    <w:p>
      <w:pPr>
        <w:spacing w:after="90" w:before="200"/>
      </w:pPr>
      <w:r>
        <w:rPr>
          <w:rFonts w:ascii="Arial" w:cs="Arial" w:eastAsia="Arial" w:hAnsi="Arial"/>
          <w:b/>
          <w:bCs/>
          <w:color w:val="1F3A4D"/>
          <w:sz w:val="22"/>
          <w:szCs w:val="22"/>
        </w:rPr>
        <w:t xml:space="preserve">Descaling</w:t>
      </w:r>
    </w:p>
    <w:p>
      <w:pPr>
        <w:spacing w:after="140" w:line="276"/>
      </w:pPr>
      <w:r>
        <w:rPr>
          <w:rFonts w:ascii="Georgia" w:cs="Georgia" w:eastAsia="Georgia" w:hAnsi="Georgia"/>
          <w:sz w:val="22"/>
          <w:szCs w:val="22"/>
        </w:rPr>
        <w:t xml:space="preserve">Tankless heaters are sensitive to scale. The water across much of the interior West is hard, and mineral deposits inside a narrow heat exchanger reduce output, cause temperature swings, and eventually cause faults. Plan on periodic descaling with a pump and a food-grade descaling solution — more often if you regularly fill from hard-water sources. A sudden drop in flow or erratic outlet temperature is often scale rather than a failed component.</w:t>
      </w:r>
    </w:p>
    <w:p>
      <w:pPr>
        <w:spacing w:after="90" w:before="200"/>
      </w:pPr>
      <w:r>
        <w:rPr>
          <w:rFonts w:ascii="Arial" w:cs="Arial" w:eastAsia="Arial" w:hAnsi="Arial"/>
          <w:b/>
          <w:bCs/>
          <w:color w:val="1F3A4D"/>
          <w:sz w:val="22"/>
          <w:szCs w:val="22"/>
        </w:rPr>
        <w:t xml:space="preserve">Cautions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9B2C1E" w:sz="4"/>
              <w:left w:val="single" w:color="9B2C1E" w:sz="18"/>
              <w:bottom w:val="single" w:color="9B2C1E" w:sz="4"/>
              <w:right w:val="single" w:color="9B2C1E" w:sz="4"/>
            </w:tcBorders>
            <w:shd w:fill="F7F2E6" w:val="clear"/>
            <w:tcMar>
              <w:top w:type="dxa" w:w="120"/>
              <w:left w:type="dxa" w:w="150"/>
              <w:bottom w:type="dxa" w:w="120"/>
              <w:right w:type="dxa" w:w="150"/>
            </w:tcMar>
          </w:tcPr>
          <w:p>
            <w:pPr>
              <w:spacing w:after="50"/>
            </w:pPr>
            <w:r>
              <w:rPr>
                <w:rFonts w:ascii="Arial" w:cs="Arial" w:eastAsia="Arial" w:hAnsi="Arial"/>
                <w:b/>
                <w:bCs/>
                <w:color w:val="9B2C1E"/>
                <w:sz w:val="19"/>
                <w:szCs w:val="19"/>
              </w:rPr>
              <w:t xml:space="preserve">Warning</w:t>
            </w:r>
          </w:p>
          <w:p>
            <w:pPr>
              <w:spacing w:after="60"/>
            </w:pPr>
            <w:r>
              <w:rPr>
                <w:rFonts w:ascii="Georgia" w:cs="Georgia" w:eastAsia="Georgia" w:hAnsi="Georgia"/>
                <w:color w:val="23211C"/>
                <w:sz w:val="20"/>
                <w:szCs w:val="20"/>
              </w:rPr>
              <w:t xml:space="preserve">Do not store combustible or flammable substances near the water heater, and do not obstruct the exterior vent. The unit uses a forced exhaust and requires clear airflow.</w:t>
            </w:r>
          </w:p>
          <w:p>
            <w:pPr>
              <w:spacing w:after="0"/>
            </w:pPr>
            <w:r>
              <w:rPr>
                <w:rFonts w:ascii="Georgia" w:cs="Georgia" w:eastAsia="Georgia" w:hAnsi="Georgia"/>
                <w:color w:val="23211C"/>
                <w:sz w:val="20"/>
                <w:szCs w:val="20"/>
              </w:rPr>
              <w:t xml:space="preserve">Do not operate the heater if you smell propane. Shut off the gas at the tank and ventilate before investigating.</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dashed" w:color="C66A0A" w:sz="4"/>
              <w:left w:val="dashed" w:color="C66A0A" w:sz="4"/>
              <w:bottom w:val="dashed" w:color="C66A0A" w:sz="4"/>
              <w:right w:val="dashed" w:color="C66A0A" w:sz="4"/>
            </w:tcBorders>
            <w:shd w:fill="EDE6D4" w:val="clear"/>
            <w:tcMar>
              <w:top w:type="dxa" w:w="130"/>
              <w:left w:type="dxa" w:w="150"/>
              <w:bottom w:type="dxa" w:w="130"/>
              <w:right w:type="dxa" w:w="150"/>
            </w:tcMar>
          </w:tcPr>
          <w:p>
            <w:pPr>
              <w:spacing w:after="40"/>
            </w:pPr>
            <w:r>
              <w:rPr>
                <w:rFonts w:ascii="Arial" w:cs="Arial" w:eastAsia="Arial" w:hAnsi="Arial"/>
                <w:b/>
                <w:bCs/>
                <w:color w:val="C66A0A"/>
                <w:sz w:val="20"/>
                <w:szCs w:val="20"/>
              </w:rPr>
              <w:t xml:space="preserve">▣  PHOTO — Fig 4·10</w:t>
            </w:r>
          </w:p>
          <w:p>
            <w:r>
              <w:rPr>
                <w:rFonts w:ascii="Arial" w:cs="Arial" w:eastAsia="Arial" w:hAnsi="Arial"/>
                <w:color w:val="5B574D"/>
                <w:sz w:val="18"/>
                <w:szCs w:val="18"/>
              </w:rPr>
              <w:t xml:space="preserve">Fogatti InstaShower tankless water heater in its exterior compartment, and the interior digital controller.</w:t>
            </w:r>
          </w:p>
        </w:tc>
      </w:tr>
    </w:tbl>
    <w:p>
      <w:pPr>
        <w:pStyle w:val="Heading2"/>
        <w:pBdr>
          <w:bottom w:val="single" w:color="C66A0A" w:sz="6" w:space="2"/>
        </w:pBdr>
        <w:spacing w:after="120" w:before="280"/>
      </w:pPr>
      <w:r>
        <w:rPr>
          <w:rFonts w:ascii="Arial" w:cs="Arial" w:eastAsia="Arial" w:hAnsi="Arial"/>
          <w:b/>
          <w:bCs/>
          <w:color w:val="1F3A4D"/>
          <w:sz w:val="26"/>
          <w:szCs w:val="26"/>
        </w:rPr>
        <w:t xml:space="preserve">Refrigerator</w:t>
      </w:r>
    </w:p>
    <w:p>
      <w:pPr>
        <w:spacing w:after="140" w:line="276"/>
      </w:pPr>
      <w:r>
        <w:rPr>
          <w:rFonts w:ascii="Georgia" w:cs="Georgia" w:eastAsia="Georgia" w:hAnsi="Georgia"/>
          <w:sz w:val="22"/>
          <w:szCs w:val="22"/>
        </w:rPr>
        <w:t xml:space="preserve">The coach is fitted with a refrigerator manufactured by either Norcold or Dometic. When operating in LP gas mode, the main LP gas valve must be open before starting the refrigerator. The unit uses an automatic energy selector (AES) control system that can switch between 120 VAC and LP gas operation.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9B2C1E" w:sz="4"/>
              <w:left w:val="single" w:color="9B2C1E" w:sz="18"/>
              <w:bottom w:val="single" w:color="9B2C1E" w:sz="4"/>
              <w:right w:val="single" w:color="9B2C1E" w:sz="4"/>
            </w:tcBorders>
            <w:shd w:fill="F7F2E6" w:val="clear"/>
            <w:tcMar>
              <w:top w:type="dxa" w:w="120"/>
              <w:left w:type="dxa" w:w="150"/>
              <w:bottom w:type="dxa" w:w="120"/>
              <w:right w:type="dxa" w:w="150"/>
            </w:tcMar>
          </w:tcPr>
          <w:p>
            <w:pPr>
              <w:spacing w:after="50"/>
            </w:pPr>
            <w:r>
              <w:rPr>
                <w:rFonts w:ascii="Arial" w:cs="Arial" w:eastAsia="Arial" w:hAnsi="Arial"/>
                <w:b/>
                <w:bCs/>
                <w:color w:val="9B2C1E"/>
                <w:sz w:val="19"/>
                <w:szCs w:val="19"/>
              </w:rPr>
              <w:t xml:space="preserve">The refrigerator needs 12 V DC — even on propane</w:t>
            </w:r>
          </w:p>
          <w:p>
            <w:pPr>
              <w:spacing w:after="60"/>
            </w:pPr>
            <w:r>
              <w:rPr>
                <w:rFonts w:ascii="Georgia" w:cs="Georgia" w:eastAsia="Georgia" w:hAnsi="Georgia"/>
                <w:color w:val="23211C"/>
                <w:sz w:val="20"/>
                <w:szCs w:val="20"/>
              </w:rPr>
              <w:t xml:space="preserve">A 12-volt supply is required for the electronic control panel. The 12 VDC system must be on for the refrigerator to operate at all.</w:t>
            </w:r>
          </w:p>
          <w:p>
            <w:pPr>
              <w:spacing w:after="0"/>
            </w:pPr>
            <w:r>
              <w:rPr>
                <w:rFonts w:ascii="Georgia" w:cs="Georgia" w:eastAsia="Georgia" w:hAnsi="Georgia"/>
                <w:color w:val="23211C"/>
                <w:sz w:val="20"/>
                <w:szCs w:val="20"/>
              </w:rPr>
              <w:t xml:space="preserve">If the refrigerator is running on LP gas and the 12 VDC supply is disconnected, the refrigerator will stop. This is why the switch by the entry steps will shut the refrigerator down — see Chapter 7, Battery Disconnect Switches.</w:t>
            </w:r>
          </w:p>
        </w:tc>
      </w:tr>
    </w:tbl>
    <w:p>
      <w:pPr>
        <w:spacing w:after="90" w:before="200"/>
      </w:pPr>
      <w:r>
        <w:rPr>
          <w:rFonts w:ascii="Arial" w:cs="Arial" w:eastAsia="Arial" w:hAnsi="Arial"/>
          <w:b/>
          <w:bCs/>
          <w:color w:val="1F3A4D"/>
          <w:sz w:val="22"/>
          <w:szCs w:val="22"/>
        </w:rPr>
        <w:t xml:space="preserve">Norcold</w:t>
      </w:r>
    </w:p>
    <w:p>
      <w:pPr>
        <w:spacing w:after="140" w:line="276"/>
      </w:pPr>
      <w:r>
        <w:rPr>
          <w:rFonts w:ascii="Georgia" w:cs="Georgia" w:eastAsia="Georgia" w:hAnsi="Georgia"/>
          <w:sz w:val="22"/>
          <w:szCs w:val="22"/>
        </w:rPr>
        <w:t xml:space="preserve">Press the main power on/off button (right-hand side) to start. Hold it for two seconds to shut down. The temp set button (left) steps through settings 1 to 9, where 9 is coldest; the selection is retained when the energy source changes. The mode button (centre) selects AU (automatic), AC, LP, or DC.</w:t>
      </w:r>
    </w:p>
    <w:p>
      <w:pPr>
        <w:spacing w:after="140" w:line="276"/>
      </w:pPr>
      <w:r>
        <w:rPr>
          <w:rFonts w:ascii="Georgia" w:cs="Georgia" w:eastAsia="Georgia" w:hAnsi="Georgia"/>
          <w:sz w:val="22"/>
          <w:szCs w:val="22"/>
        </w:rPr>
        <w:t xml:space="preserve">In automatic mode the refrigerator selects the most efficient energy source available and will switch to a better source if one becomes available. With 120 VAC present the display flashes AU / AC before going dark, leaving only a power indicator. Without 120 VAC it flashes AU / LP.</w:t>
      </w:r>
    </w:p>
    <w:p>
      <w:pPr>
        <w:spacing w:after="140" w:line="276"/>
      </w:pPr>
      <w:r>
        <w:rPr>
          <w:rFonts w:ascii="Georgia" w:cs="Georgia" w:eastAsia="Georgia" w:hAnsi="Georgia"/>
          <w:sz w:val="21"/>
          <w:szCs w:val="21"/>
        </w:rPr>
        <w:t xml:space="preserve">After initial start-up, move the setting down from coldest to a mid-range value, typically 4 or 5.</w:t>
      </w:r>
    </w:p>
    <w:p>
      <w:pPr>
        <w:spacing w:after="90" w:before="200"/>
      </w:pPr>
      <w:r>
        <w:rPr>
          <w:rFonts w:ascii="Arial" w:cs="Arial" w:eastAsia="Arial" w:hAnsi="Arial"/>
          <w:b/>
          <w:bCs/>
          <w:color w:val="1F3A4D"/>
          <w:sz w:val="22"/>
          <w:szCs w:val="22"/>
        </w:rPr>
        <w:t xml:space="preserve">Dometic</w:t>
      </w:r>
    </w:p>
    <w:p>
      <w:pPr>
        <w:spacing w:after="140" w:line="276"/>
      </w:pPr>
      <w:r>
        <w:rPr>
          <w:rFonts w:ascii="Georgia" w:cs="Georgia" w:eastAsia="Georgia" w:hAnsi="Georgia"/>
          <w:sz w:val="22"/>
          <w:szCs w:val="22"/>
        </w:rPr>
        <w:t xml:space="preserve">Press the main power on/off button (left of the panel) down to start, then press the temperature selector (right) until the desired setting is lit — lamps 1 through 5, where 1 is cold and 5 is coldest. For automatic operation press the AES/Auto/Gas mode selector to light the AES/Auto lamp.</w:t>
      </w:r>
    </w:p>
    <w:p>
      <w:pPr>
        <w:spacing w:after="140" w:line="276"/>
      </w:pPr>
      <w:r>
        <w:rPr>
          <w:rFonts w:ascii="Georgia" w:cs="Georgia" w:eastAsia="Georgia" w:hAnsi="Georgia"/>
          <w:sz w:val="22"/>
          <w:szCs w:val="22"/>
        </w:rPr>
        <w:t xml:space="preserve">If the Check lamp lights and the Gas lamp is out, the control has failed to ignite the burner. If gas does not ignite within 45 seconds the Check lamp illuminates. Reset by pressing the main power button off and then on again. If it does not light after one or two further attempts, stop and do not continue trying to use gas mode.</w:t>
      </w:r>
    </w:p>
    <w:p>
      <w:pPr>
        <w:spacing w:after="140" w:line="276"/>
      </w:pPr>
      <w:r>
        <w:rPr>
          <w:rFonts w:ascii="Georgia" w:cs="Georgia" w:eastAsia="Georgia" w:hAnsi="Georgia"/>
          <w:sz w:val="21"/>
          <w:szCs w:val="21"/>
        </w:rPr>
        <w:t xml:space="preserve">Turning the main power button to off (up) shuts off all DC power to the refrigerator, including the interior light. After start-up, move the control from coldest to a mid-range setting, usually 3.</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9B2C1E" w:sz="4"/>
              <w:left w:val="single" w:color="9B2C1E" w:sz="18"/>
              <w:bottom w:val="single" w:color="9B2C1E" w:sz="4"/>
              <w:right w:val="single" w:color="9B2C1E" w:sz="4"/>
            </w:tcBorders>
            <w:shd w:fill="F7F2E6" w:val="clear"/>
            <w:tcMar>
              <w:top w:type="dxa" w:w="120"/>
              <w:left w:type="dxa" w:w="150"/>
              <w:bottom w:type="dxa" w:w="120"/>
              <w:right w:type="dxa" w:w="150"/>
            </w:tcMar>
          </w:tcPr>
          <w:p>
            <w:pPr>
              <w:spacing w:after="50"/>
            </w:pPr>
            <w:r>
              <w:rPr>
                <w:rFonts w:ascii="Arial" w:cs="Arial" w:eastAsia="Arial" w:hAnsi="Arial"/>
                <w:b/>
                <w:bCs/>
                <w:color w:val="9B2C1E"/>
                <w:sz w:val="19"/>
                <w:szCs w:val="19"/>
              </w:rPr>
              <w:t xml:space="preserve">Warning — refuelling</w:t>
            </w:r>
          </w:p>
          <w:p>
            <w:pPr>
              <w:spacing w:after="0"/>
            </w:pPr>
            <w:r>
              <w:rPr>
                <w:rFonts w:ascii="Georgia" w:cs="Georgia" w:eastAsia="Georgia" w:hAnsi="Georgia"/>
                <w:color w:val="23211C"/>
                <w:sz w:val="20"/>
                <w:szCs w:val="20"/>
              </w:rPr>
              <w:t xml:space="preserve">Most LP appliances vent to the outside of the coach. When parked close to a fuel pump, fuel vapour can enter such an appliance and be ignited by the burner flame, causing fire or explosion. Use extreme caution when refuelling, and shut appliances down first.</w:t>
            </w:r>
          </w:p>
        </w:tc>
      </w:tr>
    </w:tbl>
    <w:p>
      <w:pPr>
        <w:pStyle w:val="Heading2"/>
        <w:pBdr>
          <w:bottom w:val="single" w:color="C66A0A" w:sz="6" w:space="2"/>
        </w:pBdr>
        <w:spacing w:after="120" w:before="280"/>
      </w:pPr>
      <w:r>
        <w:rPr>
          <w:rFonts w:ascii="Arial" w:cs="Arial" w:eastAsia="Arial" w:hAnsi="Arial"/>
          <w:b/>
          <w:bCs/>
          <w:color w:val="1F3A4D"/>
          <w:sz w:val="26"/>
          <w:szCs w:val="26"/>
        </w:rPr>
        <w:t xml:space="preserve">Microwave / Convection Oven</w:t>
      </w:r>
    </w:p>
    <w:p>
      <w:pPr>
        <w:spacing w:after="140" w:line="276"/>
      </w:pPr>
      <w:r>
        <w:rPr>
          <w:rFonts w:ascii="Georgia" w:cs="Georgia" w:eastAsia="Georgia" w:hAnsi="Georgia"/>
          <w:sz w:val="22"/>
          <w:szCs w:val="22"/>
        </w:rPr>
        <w:t xml:space="preserve">The coach contains either a microwave oven or an optional convection oven. Both operate on 120 VAC supplied by the shore connection, the generator, or the inverter. A surge protector may be fitted between the supply and the oven. Touch-pad controls set mode, power level, and cooking time.</w:t>
      </w:r>
    </w:p>
    <w:p>
      <w:pPr>
        <w:pStyle w:val="Heading2"/>
        <w:pBdr>
          <w:bottom w:val="single" w:color="C66A0A" w:sz="6" w:space="2"/>
        </w:pBdr>
        <w:spacing w:after="120" w:before="280"/>
      </w:pPr>
      <w:r>
        <w:rPr>
          <w:rFonts w:ascii="Arial" w:cs="Arial" w:eastAsia="Arial" w:hAnsi="Arial"/>
          <w:b/>
          <w:bCs/>
          <w:color w:val="1F3A4D"/>
          <w:sz w:val="26"/>
          <w:szCs w:val="26"/>
        </w:rPr>
        <w:t xml:space="preserve">Oven and Cook Top</w:t>
      </w:r>
    </w:p>
    <w:p>
      <w:pPr>
        <w:spacing w:after="140" w:line="276"/>
      </w:pPr>
      <w:r>
        <w:rPr>
          <w:rFonts w:ascii="Georgia" w:cs="Georgia" w:eastAsia="Georgia" w:hAnsi="Georgia"/>
          <w:sz w:val="22"/>
          <w:szCs w:val="22"/>
        </w:rPr>
        <w:t xml:space="preserve">The coach is equipped with a standard oven with a three-burner range, or an optional three-burner recessed cook top. The oven may use piezoelectric ignition rather than a pilot light. If it does not have piezo ignition, light it by pushing the oven control knob inward and rotating counter-clockwise to the pilot position, then light the pilot at the back left of the oven burner — this may take a few seconds while air purges from the line.</w:t>
      </w:r>
    </w:p>
    <w:p>
      <w:pPr>
        <w:spacing w:after="140" w:line="276"/>
      </w:pPr>
      <w:r>
        <w:rPr>
          <w:rFonts w:ascii="Georgia" w:cs="Georgia" w:eastAsia="Georgia" w:hAnsi="Georgia"/>
          <w:sz w:val="22"/>
          <w:szCs w:val="22"/>
        </w:rPr>
        <w:t xml:space="preserve">Do not attempt to adjust the oven pilot; it is factory set. To extinguish it, push the control knob inward and turn clockwise to off.</w:t>
      </w:r>
    </w:p>
    <w:p>
      <w:pPr>
        <w:spacing w:after="140" w:line="276"/>
      </w:pPr>
      <w:r>
        <w:rPr>
          <w:rFonts w:ascii="Georgia" w:cs="Georgia" w:eastAsia="Georgia" w:hAnsi="Georgia"/>
          <w:sz w:val="22"/>
          <w:szCs w:val="22"/>
        </w:rPr>
        <w:t xml:space="preserve">To light the range or cook top, turn on the gas control knob, wait a couple of seconds, then press the red direct-spark ignition button until a flame appears. If a burner does not light after a few attempts, stop, let the gas dissipate, and try again. Burner knobs turn counter-clockwise and must be pushed gently inward as they turn.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9B2C1E" w:sz="4"/>
              <w:left w:val="single" w:color="9B2C1E" w:sz="18"/>
              <w:bottom w:val="single" w:color="9B2C1E" w:sz="4"/>
              <w:right w:val="single" w:color="9B2C1E" w:sz="4"/>
            </w:tcBorders>
            <w:shd w:fill="F7F2E6" w:val="clear"/>
            <w:tcMar>
              <w:top w:type="dxa" w:w="120"/>
              <w:left w:type="dxa" w:w="150"/>
              <w:bottom w:type="dxa" w:w="120"/>
              <w:right w:type="dxa" w:w="150"/>
            </w:tcMar>
          </w:tcPr>
          <w:p>
            <w:pPr>
              <w:spacing w:after="50"/>
            </w:pPr>
            <w:r>
              <w:rPr>
                <w:rFonts w:ascii="Arial" w:cs="Arial" w:eastAsia="Arial" w:hAnsi="Arial"/>
                <w:b/>
                <w:bCs/>
                <w:color w:val="9B2C1E"/>
                <w:sz w:val="19"/>
                <w:szCs w:val="19"/>
              </w:rPr>
              <w:t xml:space="preserve">Warning</w:t>
            </w:r>
          </w:p>
          <w:p>
            <w:pPr>
              <w:spacing w:after="60"/>
            </w:pPr>
            <w:r>
              <w:rPr>
                <w:rFonts w:ascii="Georgia" w:cs="Georgia" w:eastAsia="Georgia" w:hAnsi="Georgia"/>
                <w:color w:val="23211C"/>
                <w:sz w:val="20"/>
                <w:szCs w:val="20"/>
              </w:rPr>
              <w:t xml:space="preserve">Never use the cook top while the motor home is in motion.</w:t>
            </w:r>
          </w:p>
          <w:p>
            <w:pPr>
              <w:spacing w:after="0"/>
            </w:pPr>
            <w:r>
              <w:rPr>
                <w:rFonts w:ascii="Georgia" w:cs="Georgia" w:eastAsia="Georgia" w:hAnsi="Georgia"/>
                <w:color w:val="23211C"/>
                <w:sz w:val="20"/>
                <w:szCs w:val="20"/>
              </w:rPr>
              <w:t xml:space="preserve">Do not use cooking appliances as a heating source. Cooking appliances require fresh air for safe operation. Always use them with proper ventilation, and never leave them operating unattended.</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9B2C1E" w:sz="4"/>
              <w:left w:val="single" w:color="9B2C1E" w:sz="18"/>
              <w:bottom w:val="single" w:color="9B2C1E" w:sz="4"/>
              <w:right w:val="single" w:color="9B2C1E" w:sz="4"/>
            </w:tcBorders>
            <w:shd w:fill="F7F2E6" w:val="clear"/>
            <w:tcMar>
              <w:top w:type="dxa" w:w="120"/>
              <w:left w:type="dxa" w:w="150"/>
              <w:bottom w:type="dxa" w:w="120"/>
              <w:right w:type="dxa" w:w="150"/>
            </w:tcMar>
          </w:tcPr>
          <w:p>
            <w:pPr>
              <w:spacing w:after="50"/>
            </w:pPr>
            <w:r>
              <w:rPr>
                <w:rFonts w:ascii="Arial" w:cs="Arial" w:eastAsia="Arial" w:hAnsi="Arial"/>
                <w:b/>
                <w:bCs/>
                <w:color w:val="9B2C1E"/>
                <w:sz w:val="19"/>
                <w:szCs w:val="19"/>
              </w:rPr>
              <w:t xml:space="preserve">DANGER — if you smell gas</w:t>
            </w:r>
          </w:p>
          <w:p>
            <w:pPr>
              <w:spacing w:after="0"/>
            </w:pPr>
            <w:r>
              <w:rPr>
                <w:rFonts w:ascii="Georgia" w:cs="Georgia" w:eastAsia="Georgia" w:hAnsi="Georgia"/>
                <w:color w:val="23211C"/>
                <w:sz w:val="20"/>
                <w:szCs w:val="20"/>
              </w:rPr>
              <w:t xml:space="preserve">Extinguish any open flames, pilot lights, and smoking materials. Do not touch or operate any electrical appliance or switch. Shut off the gas supply at the main tank valve. Open doors, windows, and other ventilation openings. Leave the coach and allow the gas to dissipate. Have the LP system checked to find and fix the leak.</w:t>
            </w:r>
          </w:p>
        </w:tc>
      </w:tr>
    </w:tbl>
    <w:p>
      <w:pPr>
        <w:spacing w:after="140" w:line="276"/>
      </w:pPr>
      <w:r>
        <w:rPr>
          <w:rFonts w:ascii="Georgia" w:cs="Georgia" w:eastAsia="Georgia" w:hAnsi="Georgia"/>
          <w:color w:val="5B574D"/>
          <w:sz w:val="21"/>
          <w:szCs w:val="21"/>
        </w:rPr>
        <w:t xml:space="preserve">Having a qualified technician check the whole LP distribution system annually is sound preventive maintenance.</w:t>
      </w:r>
    </w:p>
    <w:p>
      <w:pPr>
        <w:pStyle w:val="Heading2"/>
        <w:pBdr>
          <w:bottom w:val="single" w:color="C66A0A" w:sz="6" w:space="2"/>
        </w:pBdr>
        <w:spacing w:after="120" w:before="280"/>
      </w:pPr>
      <w:r>
        <w:rPr>
          <w:rFonts w:ascii="Arial" w:cs="Arial" w:eastAsia="Arial" w:hAnsi="Arial"/>
          <w:b/>
          <w:bCs/>
          <w:color w:val="1F3A4D"/>
          <w:sz w:val="26"/>
          <w:szCs w:val="26"/>
        </w:rPr>
        <w:t xml:space="preserve">Television Antenna</w:t>
      </w:r>
    </w:p>
    <w:p>
      <w:pPr>
        <w:spacing w:after="140" w:line="276"/>
      </w:pPr>
      <w:r>
        <w:rPr>
          <w:rFonts w:ascii="Georgia" w:cs="Georgia" w:eastAsia="Georgia" w:hAnsi="Georgia"/>
          <w:sz w:val="22"/>
          <w:szCs w:val="22"/>
        </w:rPr>
        <w:t xml:space="preserve">The coach has a retractable antenna for VHF and UHF reception. Turn the crank clockwise about 10 to 15 turns to raise it, until resistance is felt, then switch on the power booster located in the front left cabinet next to the front television. Some experimentation with direction is usually needed at each location.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9B2C1E" w:sz="4"/>
              <w:left w:val="single" w:color="9B2C1E" w:sz="18"/>
              <w:bottom w:val="single" w:color="9B2C1E" w:sz="4"/>
              <w:right w:val="single" w:color="9B2C1E" w:sz="4"/>
            </w:tcBorders>
            <w:shd w:fill="F7F2E6" w:val="clear"/>
            <w:tcMar>
              <w:top w:type="dxa" w:w="120"/>
              <w:left w:type="dxa" w:w="150"/>
              <w:bottom w:type="dxa" w:w="120"/>
              <w:right w:type="dxa" w:w="150"/>
            </w:tcMar>
          </w:tcPr>
          <w:p>
            <w:pPr>
              <w:spacing w:after="50"/>
            </w:pPr>
            <w:r>
              <w:rPr>
                <w:rFonts w:ascii="Arial" w:cs="Arial" w:eastAsia="Arial" w:hAnsi="Arial"/>
                <w:b/>
                <w:bCs/>
                <w:color w:val="9B2C1E"/>
                <w:sz w:val="19"/>
                <w:szCs w:val="19"/>
              </w:rPr>
              <w:t xml:space="preserve">Retract before moving</w:t>
            </w:r>
          </w:p>
          <w:p>
            <w:pPr>
              <w:spacing w:after="60"/>
            </w:pPr>
            <w:r>
              <w:rPr>
                <w:rFonts w:ascii="Georgia" w:cs="Georgia" w:eastAsia="Georgia" w:hAnsi="Georgia"/>
                <w:color w:val="23211C"/>
                <w:sz w:val="20"/>
                <w:szCs w:val="20"/>
              </w:rPr>
              <w:t xml:space="preserve">The antenna must be fully lowered before the coach is moved. Align the directional handle pointer with the pointer on the ceiling plate, then turn the crank counter-clockwise 10 to 15 turns until it locks down.</w:t>
            </w:r>
          </w:p>
          <w:p>
            <w:pPr>
              <w:spacing w:after="0"/>
            </w:pPr>
            <w:r>
              <w:rPr>
                <w:rFonts w:ascii="Georgia" w:cs="Georgia" w:eastAsia="Georgia" w:hAnsi="Georgia"/>
                <w:color w:val="23211C"/>
                <w:sz w:val="20"/>
                <w:szCs w:val="20"/>
              </w:rPr>
              <w:t xml:space="preserve">Never leave the antenna partially lowered. It must be either fully raised or fully retracted — any intermediate position risks damage to the antenna or the coach.</w:t>
            </w:r>
          </w:p>
        </w:tc>
      </w:tr>
    </w:tbl>
    <w:p>
      <w:pPr>
        <w:pStyle w:val="Heading2"/>
        <w:pBdr>
          <w:bottom w:val="single" w:color="C66A0A" w:sz="6" w:space="2"/>
        </w:pBdr>
        <w:spacing w:after="120" w:before="280"/>
      </w:pPr>
      <w:r>
        <w:rPr>
          <w:rFonts w:ascii="Arial" w:cs="Arial" w:eastAsia="Arial" w:hAnsi="Arial"/>
          <w:b/>
          <w:bCs/>
          <w:color w:val="1F3A4D"/>
          <w:sz w:val="26"/>
          <w:szCs w:val="26"/>
        </w:rPr>
        <w:t xml:space="preserve">Televisions, VCR and Audio</w:t>
      </w:r>
    </w:p>
    <w:p>
      <w:pPr>
        <w:spacing w:after="140" w:line="276"/>
      </w:pPr>
      <w:r>
        <w:rPr>
          <w:rFonts w:ascii="Georgia" w:cs="Georgia" w:eastAsia="Georgia" w:hAnsi="Georgia"/>
          <w:sz w:val="22"/>
          <w:szCs w:val="22"/>
        </w:rPr>
        <w:t xml:space="preserve">The televisions are cable-ready; the standard set is in the overhead bay above the dash, with an optional second set in the bedroom depending on floor plan.</w:t>
      </w:r>
    </w:p>
    <w:p>
      <w:pPr>
        <w:spacing w:after="140" w:line="276"/>
      </w:pPr>
      <w:r>
        <w:rPr>
          <w:rFonts w:ascii="Georgia" w:cs="Georgia" w:eastAsia="Georgia" w:hAnsi="Georgia"/>
          <w:sz w:val="22"/>
          <w:szCs w:val="22"/>
        </w:rPr>
        <w:t xml:space="preserve">The audio-video control console selects where the signal is routed. Button TV 1 selects the front television and TV 2 the rear (and exterior, where fitted). Each television can show a different source — for example ANT on the front while the rear shows VCR. The AUX position accepts an external cable feed, satellite receiver, games console, or disc player.</w:t>
      </w:r>
    </w:p>
    <w:p>
      <w:pPr>
        <w:spacing w:after="140" w:line="276"/>
      </w:pPr>
      <w:r>
        <w:rPr>
          <w:rFonts w:ascii="Georgia" w:cs="Georgia" w:eastAsia="Georgia" w:hAnsi="Georgia"/>
          <w:sz w:val="22"/>
          <w:szCs w:val="22"/>
        </w:rPr>
        <w:t xml:space="preserve">An AM/FM stereo with cassette and optional CD player may be fitted. It runs from the 12 VDC system and operates like a conventional car stereo, with speakers in the driver and passenger area and additional speakers in the bedroom.</w:t>
      </w:r>
    </w:p>
    <w:p>
      <w:pPr>
        <w:pStyle w:val="Heading2"/>
        <w:pBdr>
          <w:bottom w:val="single" w:color="C66A0A" w:sz="6" w:space="2"/>
        </w:pBdr>
        <w:spacing w:after="120" w:before="280"/>
      </w:pPr>
      <w:r>
        <w:rPr>
          <w:rFonts w:ascii="Arial" w:cs="Arial" w:eastAsia="Arial" w:hAnsi="Arial"/>
          <w:b/>
          <w:bCs/>
          <w:color w:val="1F3A4D"/>
          <w:sz w:val="26"/>
          <w:szCs w:val="26"/>
        </w:rPr>
        <w:t xml:space="preserve">Cable and Telephone Jack</w:t>
      </w:r>
    </w:p>
    <w:p>
      <w:pPr>
        <w:spacing w:after="140" w:line="276"/>
      </w:pPr>
      <w:r>
        <w:rPr>
          <w:rFonts w:ascii="Georgia" w:cs="Georgia" w:eastAsia="Georgia" w:hAnsi="Georgia"/>
          <w:sz w:val="22"/>
          <w:szCs w:val="22"/>
        </w:rPr>
        <w:t xml:space="preserve">An exterior cable jack and telephone hookup allow connection to park-supplied services. Several interior telephone jacks are provided for connecting a handset.</w:t>
      </w:r>
    </w:p>
    <w:p>
      <w:pPr>
        <w:pStyle w:val="Heading2"/>
        <w:pBdr>
          <w:bottom w:val="single" w:color="C66A0A" w:sz="6" w:space="2"/>
        </w:pBdr>
        <w:spacing w:after="120" w:before="280"/>
      </w:pPr>
      <w:r>
        <w:rPr>
          <w:rFonts w:ascii="Arial" w:cs="Arial" w:eastAsia="Arial" w:hAnsi="Arial"/>
          <w:b/>
          <w:bCs/>
          <w:color w:val="1F3A4D"/>
          <w:sz w:val="26"/>
          <w:szCs w:val="26"/>
        </w:rPr>
        <w:t xml:space="preserve">CB Radio Antenna Connection (Optional)</w:t>
      </w:r>
    </w:p>
    <w:p>
      <w:pPr>
        <w:spacing w:after="140" w:line="276"/>
      </w:pPr>
      <w:r>
        <w:rPr>
          <w:rFonts w:ascii="Georgia" w:cs="Georgia" w:eastAsia="Georgia" w:hAnsi="Georgia"/>
          <w:sz w:val="22"/>
          <w:szCs w:val="22"/>
        </w:rPr>
        <w:t xml:space="preserve">The coach may be fitted with an antenna and coaxial connection for an owner-supplied Citizens Band radio. The coaxial connection is beneath the dashboard on the driver's side. Transmissions are one way at a time — press to talk, release to listen. Brief transmissions work better than long ones. Several state highway patrols monitor CB frequencies for road conditions and emergencies.</w:t>
      </w:r>
    </w:p>
    <w:p>
      <w:pPr>
        <w:pStyle w:val="Heading2"/>
        <w:pBdr>
          <w:bottom w:val="single" w:color="C66A0A" w:sz="6" w:space="2"/>
        </w:pBdr>
        <w:spacing w:after="120" w:before="280"/>
      </w:pPr>
      <w:r>
        <w:rPr>
          <w:rFonts w:ascii="Arial" w:cs="Arial" w:eastAsia="Arial" w:hAnsi="Arial"/>
          <w:b/>
          <w:bCs/>
          <w:color w:val="1F3A4D"/>
          <w:sz w:val="26"/>
          <w:szCs w:val="26"/>
        </w:rPr>
        <w:t xml:space="preserve">Rear-View Camera</w:t>
      </w:r>
    </w:p>
    <w:p>
      <w:pPr>
        <w:spacing w:after="140" w:line="276"/>
      </w:pPr>
      <w:r>
        <w:rPr>
          <w:rFonts w:ascii="Georgia" w:cs="Georgia" w:eastAsia="Georgia" w:hAnsi="Georgia"/>
          <w:sz w:val="22"/>
          <w:szCs w:val="22"/>
        </w:rPr>
        <w:t xml:space="preserve">The monitor comes on when the ignition switch is turned on. In automatic mode the monitor displays the rear camera only when the transmission is in reverse.</w:t>
      </w:r>
    </w:p>
    <w:p>
      <w:pPr>
        <w:pStyle w:val="Heading2"/>
        <w:pBdr>
          <w:bottom w:val="single" w:color="C66A0A" w:sz="6" w:space="2"/>
        </w:pBdr>
        <w:spacing w:after="120" w:before="280"/>
      </w:pPr>
      <w:r>
        <w:rPr>
          <w:rFonts w:ascii="Arial" w:cs="Arial" w:eastAsia="Arial" w:hAnsi="Arial"/>
          <w:b/>
          <w:bCs/>
          <w:color w:val="1F3A4D"/>
          <w:sz w:val="26"/>
          <w:szCs w:val="26"/>
        </w:rPr>
        <w:t xml:space="preserve">Carbon Monoxide Detector</w:t>
      </w:r>
    </w:p>
    <w:p>
      <w:pPr>
        <w:spacing w:after="140" w:line="276"/>
      </w:pPr>
      <w:r>
        <w:rPr>
          <w:rFonts w:ascii="Georgia" w:cs="Georgia" w:eastAsia="Georgia" w:hAnsi="Georgia"/>
          <w:sz w:val="22"/>
          <w:szCs w:val="22"/>
        </w:rPr>
        <w:t xml:space="preserve">Carbon monoxide is a colourless, odourless, tasteless gas. When breathed it bonds to haemoglobin in the red blood cells and blocks the transfer of oxygen from the lungs to the rest of the body. In sufficient concentration it kills by asphyxiation; in lesser amounts it makes the victim groggy, lethargic, and unable to think clearly.</w:t>
      </w:r>
    </w:p>
    <w:p>
      <w:pPr>
        <w:spacing w:after="140" w:line="276"/>
      </w:pPr>
      <w:r>
        <w:rPr>
          <w:rFonts w:ascii="Georgia" w:cs="Georgia" w:eastAsia="Georgia" w:hAnsi="Georgia"/>
          <w:sz w:val="22"/>
          <w:szCs w:val="22"/>
        </w:rPr>
        <w:t xml:space="preserve">CO is a product of combustion of petroleum-based fuels including gasoline, diesel, propane, and butane. Because many appliances and engines associated with the coach produce CO in normal operation, levels inside must be kept safe. Those most susceptible are unborn babies, small children, pregnant women, older people, and anyone with cardiovascular or respiratory problems.</w:t>
      </w:r>
    </w:p>
    <w:p>
      <w:pPr>
        <w:spacing w:after="140" w:line="276"/>
      </w:pPr>
      <w:r>
        <w:rPr>
          <w:rFonts w:ascii="Georgia" w:cs="Georgia" w:eastAsia="Georgia" w:hAnsi="Georgia"/>
          <w:b/>
          <w:bCs/>
          <w:sz w:val="22"/>
          <w:szCs w:val="22"/>
        </w:rPr>
        <w:t xml:space="preserve">Symptoms include dizziness, nausea, vomiting, muscular twitching, throbbing in the temples, incoherent thinking and speech, weakness, sleepiness, and intense headache.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9B2C1E" w:sz="4"/>
              <w:left w:val="single" w:color="9B2C1E" w:sz="18"/>
              <w:bottom w:val="single" w:color="9B2C1E" w:sz="4"/>
              <w:right w:val="single" w:color="9B2C1E" w:sz="4"/>
            </w:tcBorders>
            <w:shd w:fill="F7F2E6" w:val="clear"/>
            <w:tcMar>
              <w:top w:type="dxa" w:w="120"/>
              <w:left w:type="dxa" w:w="150"/>
              <w:bottom w:type="dxa" w:w="120"/>
              <w:right w:type="dxa" w:w="150"/>
            </w:tcMar>
          </w:tcPr>
          <w:p>
            <w:pPr>
              <w:spacing w:after="50"/>
            </w:pPr>
            <w:r>
              <w:rPr>
                <w:rFonts w:ascii="Arial" w:cs="Arial" w:eastAsia="Arial" w:hAnsi="Arial"/>
                <w:b/>
                <w:bCs/>
                <w:color w:val="9B2C1E"/>
                <w:sz w:val="19"/>
                <w:szCs w:val="19"/>
              </w:rPr>
              <w:t xml:space="preserve">Warning</w:t>
            </w:r>
          </w:p>
          <w:p>
            <w:pPr>
              <w:spacing w:after="60"/>
            </w:pPr>
            <w:r>
              <w:rPr>
                <w:rFonts w:ascii="Georgia" w:cs="Georgia" w:eastAsia="Georgia" w:hAnsi="Georgia"/>
                <w:color w:val="23211C"/>
                <w:sz w:val="20"/>
                <w:szCs w:val="20"/>
              </w:rPr>
              <w:t xml:space="preserve">Carbon monoxide can kill occupants if allowed to accumulate. Make sure exhaust systems are unobstructed — tailpipes and exhaust ports must never be blocked or restricted. Avoid parking where exhaust gas can accumulate beneath or beside the coach, where it may enter through windows or vents.</w:t>
            </w:r>
          </w:p>
          <w:p>
            <w:pPr>
              <w:spacing w:after="0"/>
            </w:pPr>
            <w:r>
              <w:rPr>
                <w:rFonts w:ascii="Georgia" w:cs="Georgia" w:eastAsia="Georgia" w:hAnsi="Georgia"/>
                <w:color w:val="23211C"/>
                <w:sz w:val="20"/>
                <w:szCs w:val="20"/>
              </w:rPr>
              <w:t xml:space="preserve">Never sleep in the coach with the generator running unless the CO detector is known to be working.</w:t>
            </w:r>
          </w:p>
        </w:tc>
      </w:tr>
    </w:tbl>
    <w:p>
      <w:pPr>
        <w:spacing w:after="140" w:line="276"/>
      </w:pPr>
      <w:r>
        <w:rPr>
          <w:rFonts w:ascii="Georgia" w:cs="Georgia" w:eastAsia="Georgia" w:hAnsi="Georgia"/>
          <w:color w:val="5B574D"/>
          <w:sz w:val="21"/>
          <w:szCs w:val="21"/>
        </w:rPr>
        <w:t xml:space="preserve">Test the detector regularly and know its alarm pattern. Do not rely on an audible alarm alone for fault indication.</w:t>
      </w:r>
    </w:p>
    <w:sectPr>
      <w:headerReference w:type="default" r:id="rId7"/>
      <w:footerReference w:type="default" r:id="rId8"/>
      <w:pgSz w:w="12240" w:h="15840" w:orient="portrait"/>
      <w:pgMar w:top="1300" w:right="1440" w:bottom="130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9BFA8" w:sz="4" w:space="4"/>
      </w:pBdr>
      <w:jc w:val="center"/>
    </w:pPr>
    <w:r>
      <w:rPr>
        <w:rFonts w:ascii="Arial" w:cs="Arial" w:eastAsia="Arial" w:hAnsi="Arial"/>
        <w:color w:val="5B574D"/>
        <w:sz w:val="15"/>
        <w:szCs w:val="15"/>
      </w:rPr>
      <w:t xml:space="preserve">Chapter 4  ·  </w:t>
    </w:r>
    <w:r>
      <w:rPr>
        <w:rFonts w:ascii="Arial" w:cs="Arial" w:eastAsia="Arial" w:hAnsi="Arial"/>
        <w:color w:val="5B574D"/>
        <w:sz w:val="15"/>
        <w:szCs w:val="15"/>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1F3A4D" w:sz="6" w:space="4"/>
      </w:pBdr>
      <w:tabs>
        <w:tab w:val="right" w:pos="9360"/>
      </w:tabs>
      <w:spacing w:after="120"/>
    </w:pPr>
    <w:r>
      <w:rPr>
        <w:rFonts w:ascii="Arial" w:cs="Arial" w:eastAsia="Arial" w:hAnsi="Arial"/>
        <w:b/>
        <w:bCs/>
        <w:color w:val="1F3A4D"/>
        <w:spacing w:val="30"/>
        <w:sz w:val="15"/>
        <w:szCs w:val="15"/>
      </w:rPr>
      <w:t xml:space="preserve">ALLEGRO OWNER’S MANUAL</w:t>
    </w:r>
    <w:r>
      <w:rPr>
        <w:rFonts w:ascii="Arial" w:cs="Arial" w:eastAsia="Arial" w:hAnsi="Arial"/>
        <w:color w:val="5B574D"/>
        <w:sz w:val="15"/>
        <w:szCs w:val="15"/>
      </w:rPr>
      <w:t xml:space="preserve">	Major Appliances &amp; Accessories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620" w:hanging="360"/>
      </w:pPr>
    </w:lvl>
  </w:abstractNum>
  <w:abstractNum w:abstractNumId="3" w15:restartNumberingAfterBreak="0">
    <w:multiLevelType w:val="hybridMultilevel"/>
    <w:lvl w:ilvl="0" w15:tentative="1">
      <w:start w:val="1"/>
      <w:numFmt w:val="decimal"/>
      <w:lvlText w:val="%1."/>
      <w:lvlJc w:val="left"/>
      <w:pPr>
        <w:ind w:left="6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80" w:before="0"/>
      <w:outlineLvl w:val="0"/>
    </w:pPr>
    <w:rPr>
      <w:rFonts w:ascii="Arial" w:cs="Arial" w:eastAsia="Arial" w:hAnsi="Arial"/>
      <w:b/>
      <w:bCs/>
      <w:color w:val="1F3A4D"/>
      <w:sz w:val="40"/>
      <w:szCs w:val="40"/>
    </w:rPr>
  </w:style>
  <w:style w:type="paragraph" w:styleId="Heading2">
    <w:name w:val="Heading 2"/>
    <w:basedOn w:val="Normal"/>
    <w:next w:val="Normal"/>
    <w:qFormat/>
    <w:pPr>
      <w:spacing w:after="120" w:before="280"/>
      <w:outlineLvl w:val="1"/>
    </w:pPr>
    <w:rPr>
      <w:rFonts w:ascii="Arial" w:cs="Arial" w:eastAsia="Arial" w:hAnsi="Arial"/>
      <w:b/>
      <w:bCs/>
      <w:color w:val="1F3A4D"/>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2026-07-20T12:35:44.598Z</dcterms:created>
  <dcterms:modified xsi:type="dcterms:W3CDTF">2026-07-20T12:35:44.598Z</dcterms:modified>
</cp:coreProperties>
</file>

<file path=docProps/custom.xml><?xml version="1.0" encoding="utf-8"?>
<Properties xmlns="http://schemas.openxmlformats.org/officeDocument/2006/custom-properties" xmlns:vt="http://schemas.openxmlformats.org/officeDocument/2006/docPropsVTypes"/>
</file>